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AA" w:rsidRDefault="006361AA" w:rsidP="006361AA">
      <w:pPr>
        <w:rPr>
          <w:color w:val="1F497D"/>
        </w:rPr>
      </w:pPr>
    </w:p>
    <w:p w:rsidR="003B09E8" w:rsidRDefault="006361AA" w:rsidP="006361AA">
      <w:pPr>
        <w:pStyle w:val="Titel"/>
        <w:rPr>
          <w:sz w:val="72"/>
          <w:szCs w:val="72"/>
        </w:rPr>
      </w:pPr>
      <w:r w:rsidRPr="003B09E8">
        <w:rPr>
          <w:sz w:val="72"/>
          <w:szCs w:val="72"/>
        </w:rPr>
        <w:t xml:space="preserve">Interne nascholing </w:t>
      </w:r>
    </w:p>
    <w:p w:rsidR="006361AA" w:rsidRPr="003B09E8" w:rsidRDefault="006361AA" w:rsidP="006361AA">
      <w:pPr>
        <w:pStyle w:val="Titel"/>
        <w:rPr>
          <w:sz w:val="72"/>
          <w:szCs w:val="72"/>
        </w:rPr>
      </w:pPr>
      <w:bookmarkStart w:id="0" w:name="_GoBack"/>
      <w:r w:rsidRPr="003B09E8">
        <w:rPr>
          <w:sz w:val="72"/>
          <w:szCs w:val="72"/>
        </w:rPr>
        <w:t>suïcidaal gedrag bij jongeren</w:t>
      </w:r>
    </w:p>
    <w:bookmarkEnd w:id="0"/>
    <w:p w:rsidR="003B09E8" w:rsidRDefault="003B09E8" w:rsidP="003B09E8">
      <w:pPr>
        <w:pStyle w:val="Kop1"/>
      </w:pPr>
      <w:r>
        <w:t>Datum</w:t>
      </w:r>
    </w:p>
    <w:p w:rsidR="003B09E8" w:rsidRDefault="003B09E8" w:rsidP="003B09E8">
      <w:r>
        <w:t>25 september 2018</w:t>
      </w:r>
    </w:p>
    <w:p w:rsidR="003B09E8" w:rsidRDefault="003B09E8" w:rsidP="003B09E8">
      <w:pPr>
        <w:pStyle w:val="Kop1"/>
      </w:pPr>
      <w:r>
        <w:t>Locatie</w:t>
      </w:r>
    </w:p>
    <w:p w:rsidR="003B09E8" w:rsidRPr="003B09E8" w:rsidRDefault="003B09E8" w:rsidP="003B09E8">
      <w:r>
        <w:t>FLITS-ruimte, Accare Groningen UC (UMCG-terrein)</w:t>
      </w:r>
    </w:p>
    <w:p w:rsidR="006361AA" w:rsidRPr="003B09E8" w:rsidRDefault="006361AA" w:rsidP="003B09E8">
      <w:pPr>
        <w:pStyle w:val="Kop1"/>
      </w:pPr>
      <w:r w:rsidRPr="003B09E8">
        <w:t>Docenten</w:t>
      </w:r>
    </w:p>
    <w:p w:rsidR="006361AA" w:rsidRPr="003B09E8" w:rsidRDefault="006361AA" w:rsidP="006361AA">
      <w:r w:rsidRPr="003B09E8">
        <w:t>Wilma Kamp, kinder- en jeugdpsychiater en regiomanager behandelinhoudelijke zaken Accare Groningen UC</w:t>
      </w:r>
    </w:p>
    <w:p w:rsidR="006361AA" w:rsidRPr="003B09E8" w:rsidRDefault="006361AA" w:rsidP="006361AA">
      <w:r w:rsidRPr="003B09E8">
        <w:t>Marieke Schuppert, kinder- en jeugdpsychiater en opleider, Accare Groningen UC</w:t>
      </w:r>
    </w:p>
    <w:p w:rsidR="006361AA" w:rsidRPr="003B09E8" w:rsidRDefault="006361AA" w:rsidP="006361AA">
      <w:r w:rsidRPr="003B09E8">
        <w:t>Jetty Noltes, kinder- en jeugdpsychiater en plaatsvervangend opleider, Accare Groningen UC</w:t>
      </w:r>
    </w:p>
    <w:p w:rsidR="006361AA" w:rsidRDefault="006361AA" w:rsidP="006361AA">
      <w:r w:rsidRPr="003B09E8">
        <w:t>Anrik Velten, kinder- en jeugdpsychiater Accare Groningen UC</w:t>
      </w:r>
    </w:p>
    <w:p w:rsidR="00ED532F" w:rsidRDefault="00ED532F" w:rsidP="00ED532F">
      <w:pPr>
        <w:pStyle w:val="Kop1"/>
      </w:pPr>
      <w:r>
        <w:t>Voorbereiding</w:t>
      </w:r>
    </w:p>
    <w:p w:rsidR="0037503C" w:rsidRDefault="0037503C" w:rsidP="0037503C">
      <w:r>
        <w:t>(Literatuur wordt mogelijk nog aangevuld/aangepast.)</w:t>
      </w:r>
    </w:p>
    <w:p w:rsidR="0037503C" w:rsidRPr="00C639C2" w:rsidRDefault="0037503C" w:rsidP="0037503C">
      <w:pPr>
        <w:rPr>
          <w:b/>
          <w:sz w:val="24"/>
          <w:szCs w:val="24"/>
        </w:rPr>
      </w:pPr>
      <w:r w:rsidRPr="00C639C2">
        <w:rPr>
          <w:b/>
          <w:sz w:val="24"/>
          <w:szCs w:val="24"/>
        </w:rPr>
        <w:t>Literatuur verplicht</w:t>
      </w:r>
    </w:p>
    <w:p w:rsidR="0037503C" w:rsidRPr="00C639C2" w:rsidRDefault="0037503C" w:rsidP="0037503C">
      <w:pPr>
        <w:rPr>
          <w:sz w:val="24"/>
          <w:szCs w:val="24"/>
        </w:rPr>
      </w:pPr>
      <w:r w:rsidRPr="00C639C2">
        <w:rPr>
          <w:i/>
          <w:sz w:val="24"/>
          <w:szCs w:val="24"/>
        </w:rPr>
        <w:t xml:space="preserve"> </w:t>
      </w:r>
      <w:r w:rsidRPr="00C639C2">
        <w:rPr>
          <w:sz w:val="24"/>
          <w:szCs w:val="24"/>
        </w:rPr>
        <w:t xml:space="preserve">- A.M. van Hemert e.a. Multidisciplinaire richtlijn diagnostiek en behandeling van suïcidaal gedrag. 2012. Samenvatting: p 11-34. </w:t>
      </w:r>
    </w:p>
    <w:p w:rsidR="0037503C" w:rsidRDefault="0037503C" w:rsidP="0037503C">
      <w:r>
        <w:rPr>
          <w:rFonts w:cs="Calibri"/>
        </w:rPr>
        <w:t xml:space="preserve">- T. </w:t>
      </w:r>
      <w:proofErr w:type="spellStart"/>
      <w:r>
        <w:rPr>
          <w:rFonts w:cs="Calibri"/>
        </w:rPr>
        <w:t>Santens</w:t>
      </w:r>
      <w:proofErr w:type="spellEnd"/>
      <w:r>
        <w:rPr>
          <w:rFonts w:cs="Calibri"/>
        </w:rPr>
        <w:t xml:space="preserve">, </w:t>
      </w:r>
      <w:proofErr w:type="spellStart"/>
      <w:r>
        <w:rPr>
          <w:rFonts w:cs="Calibri"/>
        </w:rPr>
        <w:t>K.Bystram</w:t>
      </w:r>
      <w:proofErr w:type="spellEnd"/>
      <w:r>
        <w:rPr>
          <w:rFonts w:cs="Calibri"/>
        </w:rPr>
        <w:t xml:space="preserve"> &amp; J. </w:t>
      </w:r>
      <w:proofErr w:type="spellStart"/>
      <w:r>
        <w:rPr>
          <w:rFonts w:cs="Calibri"/>
        </w:rPr>
        <w:t>Creten</w:t>
      </w:r>
      <w:proofErr w:type="spellEnd"/>
      <w:r w:rsidRPr="00C639C2">
        <w:rPr>
          <w:rFonts w:cs="Calibri"/>
        </w:rPr>
        <w:t xml:space="preserve"> (2017). </w:t>
      </w:r>
      <w:r w:rsidRPr="00C639C2">
        <w:t xml:space="preserve">Diagnostiek van </w:t>
      </w:r>
      <w:r>
        <w:t>suïcidaal gedrag</w:t>
      </w:r>
      <w:r w:rsidRPr="00C639C2">
        <w:t>. </w:t>
      </w:r>
      <w:r w:rsidRPr="00C639C2">
        <w:rPr>
          <w:rFonts w:cs="Calibri"/>
          <w:i/>
          <w:iCs/>
        </w:rPr>
        <w:t xml:space="preserve">In: Diagnostiek bij kinderen, jongeren en gezinnen. Deel IV. </w:t>
      </w:r>
      <w:r w:rsidRPr="00C639C2">
        <w:rPr>
          <w:rFonts w:cs="Calibri"/>
        </w:rPr>
        <w:t>Onder redactie van </w:t>
      </w:r>
      <w:r w:rsidRPr="00C639C2">
        <w:t xml:space="preserve">Guy Bosmans, Laurence Claes, Patricia </w:t>
      </w:r>
      <w:proofErr w:type="spellStart"/>
      <w:r w:rsidRPr="00C639C2">
        <w:t>Bijttebier</w:t>
      </w:r>
      <w:proofErr w:type="spellEnd"/>
      <w:r w:rsidRPr="00C639C2">
        <w:t xml:space="preserve"> &amp; Ilse </w:t>
      </w:r>
      <w:proofErr w:type="spellStart"/>
      <w:r w:rsidRPr="00C639C2">
        <w:t>Noens</w:t>
      </w:r>
      <w:proofErr w:type="spellEnd"/>
      <w:r w:rsidRPr="00C639C2">
        <w:t>, p. 1</w:t>
      </w:r>
      <w:r>
        <w:t>87</w:t>
      </w:r>
      <w:r w:rsidRPr="00C639C2">
        <w:t xml:space="preserve"> </w:t>
      </w:r>
      <w:r>
        <w:t>–</w:t>
      </w:r>
      <w:r w:rsidRPr="00C639C2">
        <w:t xml:space="preserve"> 2</w:t>
      </w:r>
      <w:r>
        <w:t>15.</w:t>
      </w:r>
    </w:p>
    <w:p w:rsidR="0037503C" w:rsidRPr="00C639C2" w:rsidRDefault="0037503C" w:rsidP="0037503C">
      <w:pPr>
        <w:rPr>
          <w:b/>
          <w:sz w:val="24"/>
          <w:szCs w:val="24"/>
          <w:lang w:val="en-US"/>
        </w:rPr>
      </w:pPr>
      <w:proofErr w:type="spellStart"/>
      <w:r w:rsidRPr="00C639C2">
        <w:rPr>
          <w:b/>
          <w:sz w:val="24"/>
          <w:szCs w:val="24"/>
          <w:lang w:val="en-US"/>
        </w:rPr>
        <w:t>Aanbevolen</w:t>
      </w:r>
      <w:proofErr w:type="spellEnd"/>
      <w:r w:rsidRPr="00C639C2">
        <w:rPr>
          <w:b/>
          <w:sz w:val="24"/>
          <w:szCs w:val="24"/>
          <w:lang w:val="en-US"/>
        </w:rPr>
        <w:t xml:space="preserve"> </w:t>
      </w:r>
      <w:proofErr w:type="spellStart"/>
      <w:r w:rsidRPr="00C639C2">
        <w:rPr>
          <w:b/>
          <w:sz w:val="24"/>
          <w:szCs w:val="24"/>
          <w:lang w:val="en-US"/>
        </w:rPr>
        <w:t>literatuur</w:t>
      </w:r>
      <w:proofErr w:type="spellEnd"/>
      <w:r w:rsidRPr="00C639C2">
        <w:rPr>
          <w:b/>
          <w:sz w:val="24"/>
          <w:szCs w:val="24"/>
          <w:lang w:val="en-US"/>
        </w:rPr>
        <w:t xml:space="preserve"> </w:t>
      </w:r>
    </w:p>
    <w:p w:rsidR="0037503C" w:rsidRPr="00A95BC2" w:rsidRDefault="0037503C" w:rsidP="0037503C">
      <w:pPr>
        <w:rPr>
          <w:sz w:val="24"/>
          <w:szCs w:val="24"/>
          <w:lang w:val="en-US"/>
        </w:rPr>
      </w:pPr>
      <w:r w:rsidRPr="00C639C2">
        <w:rPr>
          <w:sz w:val="24"/>
          <w:szCs w:val="24"/>
          <w:lang w:val="en-US"/>
        </w:rPr>
        <w:t xml:space="preserve">- </w:t>
      </w:r>
      <w:proofErr w:type="spellStart"/>
      <w:r w:rsidRPr="00C639C2">
        <w:rPr>
          <w:sz w:val="24"/>
          <w:szCs w:val="24"/>
          <w:lang w:val="en-US"/>
        </w:rPr>
        <w:t>Ougrin</w:t>
      </w:r>
      <w:proofErr w:type="spellEnd"/>
      <w:r w:rsidRPr="00C639C2">
        <w:rPr>
          <w:sz w:val="24"/>
          <w:szCs w:val="24"/>
          <w:lang w:val="en-US"/>
        </w:rPr>
        <w:t xml:space="preserve"> </w:t>
      </w:r>
      <w:proofErr w:type="spellStart"/>
      <w:r w:rsidRPr="00C639C2">
        <w:rPr>
          <w:sz w:val="24"/>
          <w:szCs w:val="24"/>
          <w:lang w:val="en-US"/>
        </w:rPr>
        <w:t>e.a.Therapeutic</w:t>
      </w:r>
      <w:proofErr w:type="spellEnd"/>
      <w:r w:rsidRPr="00C639C2">
        <w:rPr>
          <w:sz w:val="24"/>
          <w:szCs w:val="24"/>
          <w:lang w:val="en-US"/>
        </w:rPr>
        <w:t xml:space="preserve"> interventions for suicide Attempts and self-harm in adolescents: systematic review and meta-analysis. </w:t>
      </w:r>
      <w:r w:rsidRPr="00C639C2">
        <w:rPr>
          <w:rFonts w:eastAsia="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5" o:title=""/>
          </v:shape>
          <w:control r:id="rId6" w:name="DefaultOcxName2" w:shapeid="_x0000_i1030"/>
        </w:object>
      </w:r>
      <w:r w:rsidRPr="00C639C2">
        <w:rPr>
          <w:rFonts w:eastAsia="Times New Roman"/>
          <w:sz w:val="24"/>
          <w:szCs w:val="24"/>
        </w:rPr>
        <w:object w:dxaOrig="225" w:dyaOrig="225">
          <v:shape id="_x0000_i1033" type="#_x0000_t75" style="width:1in;height:18pt" o:ole="">
            <v:imagedata r:id="rId7" o:title=""/>
          </v:shape>
          <w:control r:id="rId8" w:name="DefaultOcxName11" w:shapeid="_x0000_i1033"/>
        </w:object>
      </w:r>
      <w:hyperlink r:id="rId9" w:anchor="comments" w:history="1">
        <w:r w:rsidRPr="00C639C2">
          <w:rPr>
            <w:rStyle w:val="Hyperlink"/>
            <w:vanish/>
            <w:sz w:val="24"/>
            <w:szCs w:val="24"/>
            <w:lang w:val="en-US"/>
          </w:rPr>
          <w:t>See comment in PubMed Commons below</w:t>
        </w:r>
      </w:hyperlink>
      <w:hyperlink r:id="rId10" w:tooltip="Journal of the American Academy of Child and Adolescent Psychiatry." w:history="1">
        <w:r w:rsidRPr="00A95BC2">
          <w:rPr>
            <w:rStyle w:val="Hyperlink"/>
            <w:sz w:val="24"/>
            <w:szCs w:val="24"/>
            <w:lang w:val="en-US"/>
          </w:rPr>
          <w:t xml:space="preserve">J Am </w:t>
        </w:r>
        <w:proofErr w:type="spellStart"/>
        <w:r w:rsidRPr="00A95BC2">
          <w:rPr>
            <w:rStyle w:val="Hyperlink"/>
            <w:sz w:val="24"/>
            <w:szCs w:val="24"/>
            <w:lang w:val="en-US"/>
          </w:rPr>
          <w:t>Acad</w:t>
        </w:r>
        <w:proofErr w:type="spellEnd"/>
        <w:r w:rsidRPr="00A95BC2">
          <w:rPr>
            <w:rStyle w:val="Hyperlink"/>
            <w:sz w:val="24"/>
            <w:szCs w:val="24"/>
            <w:lang w:val="en-US"/>
          </w:rPr>
          <w:t xml:space="preserve"> Child </w:t>
        </w:r>
        <w:proofErr w:type="spellStart"/>
        <w:r w:rsidRPr="00A95BC2">
          <w:rPr>
            <w:rStyle w:val="Hyperlink"/>
            <w:sz w:val="24"/>
            <w:szCs w:val="24"/>
            <w:lang w:val="en-US"/>
          </w:rPr>
          <w:t>Adolesc</w:t>
        </w:r>
        <w:proofErr w:type="spellEnd"/>
        <w:r w:rsidRPr="00A95BC2">
          <w:rPr>
            <w:rStyle w:val="Hyperlink"/>
            <w:sz w:val="24"/>
            <w:szCs w:val="24"/>
            <w:lang w:val="en-US"/>
          </w:rPr>
          <w:t xml:space="preserve"> Psychiatry.</w:t>
        </w:r>
      </w:hyperlink>
      <w:r w:rsidRPr="00A95BC2">
        <w:rPr>
          <w:sz w:val="24"/>
          <w:szCs w:val="24"/>
          <w:lang w:val="en-US"/>
        </w:rPr>
        <w:t xml:space="preserve"> 2015;54(2):97-107. </w:t>
      </w:r>
    </w:p>
    <w:p w:rsidR="006361AA" w:rsidRPr="003B09E8" w:rsidRDefault="006361AA" w:rsidP="003B09E8">
      <w:pPr>
        <w:pStyle w:val="Kop1"/>
      </w:pPr>
      <w:r w:rsidRPr="003B09E8">
        <w:t>Programma</w:t>
      </w:r>
    </w:p>
    <w:p w:rsidR="006361AA" w:rsidRDefault="006361AA" w:rsidP="006361AA">
      <w:pPr>
        <w:rPr>
          <w:color w:val="1F497D"/>
        </w:rPr>
      </w:pPr>
    </w:p>
    <w:tbl>
      <w:tblPr>
        <w:tblW w:w="0" w:type="auto"/>
        <w:tblCellMar>
          <w:left w:w="0" w:type="dxa"/>
          <w:right w:w="0" w:type="dxa"/>
        </w:tblCellMar>
        <w:tblLook w:val="04A0" w:firstRow="1" w:lastRow="0" w:firstColumn="1" w:lastColumn="0" w:noHBand="0" w:noVBand="1"/>
      </w:tblPr>
      <w:tblGrid>
        <w:gridCol w:w="2993"/>
        <w:gridCol w:w="3117"/>
        <w:gridCol w:w="3178"/>
      </w:tblGrid>
      <w:tr w:rsidR="006361AA" w:rsidTr="006361AA">
        <w:tc>
          <w:tcPr>
            <w:tcW w:w="3182" w:type="dxa"/>
            <w:tcBorders>
              <w:top w:val="single" w:sz="8" w:space="0" w:color="4F81BD"/>
              <w:left w:val="single" w:sz="8" w:space="0" w:color="4F81BD"/>
              <w:bottom w:val="nil"/>
              <w:right w:val="nil"/>
            </w:tcBorders>
            <w:shd w:val="clear" w:color="auto" w:fill="4F81BD"/>
            <w:tcMar>
              <w:top w:w="0" w:type="dxa"/>
              <w:left w:w="108" w:type="dxa"/>
              <w:bottom w:w="0" w:type="dxa"/>
              <w:right w:w="108" w:type="dxa"/>
            </w:tcMar>
            <w:hideMark/>
          </w:tcPr>
          <w:p w:rsidR="006361AA" w:rsidRDefault="006361AA">
            <w:pPr>
              <w:rPr>
                <w:b/>
                <w:bCs/>
                <w:color w:val="FFFFFF"/>
              </w:rPr>
            </w:pPr>
            <w:r>
              <w:rPr>
                <w:b/>
                <w:bCs/>
                <w:color w:val="FFFFFF"/>
              </w:rPr>
              <w:t>Tijd</w:t>
            </w:r>
          </w:p>
        </w:tc>
        <w:tc>
          <w:tcPr>
            <w:tcW w:w="3182" w:type="dxa"/>
            <w:tcBorders>
              <w:top w:val="single" w:sz="8" w:space="0" w:color="4F81BD"/>
              <w:left w:val="nil"/>
              <w:bottom w:val="nil"/>
              <w:right w:val="nil"/>
            </w:tcBorders>
            <w:shd w:val="clear" w:color="auto" w:fill="4F81BD"/>
            <w:tcMar>
              <w:top w:w="0" w:type="dxa"/>
              <w:left w:w="108" w:type="dxa"/>
              <w:bottom w:w="0" w:type="dxa"/>
              <w:right w:w="108" w:type="dxa"/>
            </w:tcMar>
            <w:hideMark/>
          </w:tcPr>
          <w:p w:rsidR="006361AA" w:rsidRDefault="006361AA">
            <w:pPr>
              <w:rPr>
                <w:b/>
                <w:bCs/>
                <w:color w:val="FFFFFF"/>
              </w:rPr>
            </w:pPr>
            <w:r>
              <w:rPr>
                <w:b/>
                <w:bCs/>
                <w:color w:val="FFFFFF"/>
              </w:rPr>
              <w:t>Programmaonderdelen</w:t>
            </w:r>
          </w:p>
        </w:tc>
        <w:tc>
          <w:tcPr>
            <w:tcW w:w="3182" w:type="dxa"/>
            <w:tcBorders>
              <w:top w:val="single" w:sz="8" w:space="0" w:color="4F81BD"/>
              <w:left w:val="nil"/>
              <w:bottom w:val="nil"/>
              <w:right w:val="single" w:sz="8" w:space="0" w:color="4F81BD"/>
            </w:tcBorders>
            <w:shd w:val="clear" w:color="auto" w:fill="4F81BD"/>
            <w:tcMar>
              <w:top w:w="0" w:type="dxa"/>
              <w:left w:w="108" w:type="dxa"/>
              <w:bottom w:w="0" w:type="dxa"/>
              <w:right w:w="108" w:type="dxa"/>
            </w:tcMar>
            <w:hideMark/>
          </w:tcPr>
          <w:p w:rsidR="006361AA" w:rsidRDefault="006361AA">
            <w:pPr>
              <w:rPr>
                <w:b/>
                <w:bCs/>
                <w:color w:val="FFFFFF"/>
              </w:rPr>
            </w:pPr>
            <w:r>
              <w:rPr>
                <w:b/>
                <w:bCs/>
                <w:color w:val="FFFFFF"/>
              </w:rPr>
              <w:t>Toelichting onderwerpen</w:t>
            </w:r>
          </w:p>
        </w:tc>
      </w:tr>
      <w:tr w:rsidR="006361AA" w:rsidTr="006361AA">
        <w:tc>
          <w:tcPr>
            <w:tcW w:w="3182" w:type="dxa"/>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rsidR="006361AA" w:rsidRDefault="006361AA">
            <w:pPr>
              <w:rPr>
                <w:b/>
                <w:bCs/>
              </w:rPr>
            </w:pPr>
            <w:r>
              <w:rPr>
                <w:b/>
                <w:bCs/>
              </w:rPr>
              <w:t xml:space="preserve">17:00 uur </w:t>
            </w:r>
          </w:p>
        </w:tc>
        <w:tc>
          <w:tcPr>
            <w:tcW w:w="3182" w:type="dxa"/>
            <w:tcBorders>
              <w:top w:val="single" w:sz="8" w:space="0" w:color="4F81BD"/>
              <w:left w:val="nil"/>
              <w:bottom w:val="single" w:sz="8" w:space="0" w:color="4F81BD"/>
              <w:right w:val="nil"/>
            </w:tcBorders>
            <w:tcMar>
              <w:top w:w="0" w:type="dxa"/>
              <w:left w:w="108" w:type="dxa"/>
              <w:bottom w:w="0" w:type="dxa"/>
              <w:right w:w="108" w:type="dxa"/>
            </w:tcMar>
            <w:hideMark/>
          </w:tcPr>
          <w:p w:rsidR="006361AA" w:rsidRDefault="006361AA">
            <w:r>
              <w:t>Inloop</w:t>
            </w:r>
          </w:p>
        </w:tc>
        <w:tc>
          <w:tcPr>
            <w:tcW w:w="3182"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rsidR="006361AA" w:rsidRDefault="006361AA"/>
        </w:tc>
      </w:tr>
      <w:tr w:rsidR="006361AA" w:rsidTr="006361AA">
        <w:tc>
          <w:tcPr>
            <w:tcW w:w="3182" w:type="dxa"/>
            <w:tcBorders>
              <w:top w:val="nil"/>
              <w:left w:val="single" w:sz="8" w:space="0" w:color="4F81BD"/>
              <w:bottom w:val="nil"/>
              <w:right w:val="nil"/>
            </w:tcBorders>
            <w:tcMar>
              <w:top w:w="0" w:type="dxa"/>
              <w:left w:w="108" w:type="dxa"/>
              <w:bottom w:w="0" w:type="dxa"/>
              <w:right w:w="108" w:type="dxa"/>
            </w:tcMar>
            <w:hideMark/>
          </w:tcPr>
          <w:p w:rsidR="006361AA" w:rsidRDefault="006361AA">
            <w:pPr>
              <w:rPr>
                <w:b/>
                <w:bCs/>
              </w:rPr>
            </w:pPr>
            <w:r>
              <w:rPr>
                <w:b/>
                <w:bCs/>
              </w:rPr>
              <w:t>17.15 – 17:45 uur</w:t>
            </w:r>
          </w:p>
        </w:tc>
        <w:tc>
          <w:tcPr>
            <w:tcW w:w="3182" w:type="dxa"/>
            <w:tcMar>
              <w:top w:w="0" w:type="dxa"/>
              <w:left w:w="108" w:type="dxa"/>
              <w:bottom w:w="0" w:type="dxa"/>
              <w:right w:w="108" w:type="dxa"/>
            </w:tcMar>
            <w:hideMark/>
          </w:tcPr>
          <w:p w:rsidR="006361AA" w:rsidRDefault="006361AA">
            <w:r>
              <w:t>Introductie en kennisquiz</w:t>
            </w:r>
          </w:p>
        </w:tc>
        <w:tc>
          <w:tcPr>
            <w:tcW w:w="3182" w:type="dxa"/>
            <w:tcBorders>
              <w:top w:val="nil"/>
              <w:left w:val="nil"/>
              <w:bottom w:val="nil"/>
              <w:right w:val="single" w:sz="8" w:space="0" w:color="4F81BD"/>
            </w:tcBorders>
            <w:tcMar>
              <w:top w:w="0" w:type="dxa"/>
              <w:left w:w="108" w:type="dxa"/>
              <w:bottom w:w="0" w:type="dxa"/>
              <w:right w:w="108" w:type="dxa"/>
            </w:tcMar>
            <w:hideMark/>
          </w:tcPr>
          <w:p w:rsidR="006361AA" w:rsidRDefault="006361AA">
            <w:r>
              <w:t>Diverse cijfers en feiten m.b.t. suïcidaal gedrag</w:t>
            </w:r>
            <w:r w:rsidR="003B09E8">
              <w:t>. (Er kan een prijs worden gewonnen.)</w:t>
            </w:r>
          </w:p>
        </w:tc>
      </w:tr>
      <w:tr w:rsidR="006361AA" w:rsidTr="006361AA">
        <w:tc>
          <w:tcPr>
            <w:tcW w:w="3182" w:type="dxa"/>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rsidR="006361AA" w:rsidRDefault="006361AA">
            <w:pPr>
              <w:rPr>
                <w:b/>
                <w:bCs/>
              </w:rPr>
            </w:pPr>
            <w:r>
              <w:rPr>
                <w:b/>
                <w:bCs/>
              </w:rPr>
              <w:t>17:45 – 18:15 uur</w:t>
            </w:r>
          </w:p>
        </w:tc>
        <w:tc>
          <w:tcPr>
            <w:tcW w:w="3182" w:type="dxa"/>
            <w:tcBorders>
              <w:top w:val="single" w:sz="8" w:space="0" w:color="4F81BD"/>
              <w:left w:val="nil"/>
              <w:bottom w:val="single" w:sz="8" w:space="0" w:color="4F81BD"/>
              <w:right w:val="nil"/>
            </w:tcBorders>
            <w:tcMar>
              <w:top w:w="0" w:type="dxa"/>
              <w:left w:w="108" w:type="dxa"/>
              <w:bottom w:w="0" w:type="dxa"/>
              <w:right w:w="108" w:type="dxa"/>
            </w:tcMar>
            <w:hideMark/>
          </w:tcPr>
          <w:p w:rsidR="006361AA" w:rsidRDefault="006361AA">
            <w:r>
              <w:t xml:space="preserve">Suïcidepreventie, signalering, ketenzorg </w:t>
            </w:r>
          </w:p>
        </w:tc>
        <w:tc>
          <w:tcPr>
            <w:tcW w:w="3182" w:type="dxa"/>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rsidR="006361AA" w:rsidRDefault="004138AA">
            <w:r>
              <w:t>Kort en bondig</w:t>
            </w:r>
            <w:r w:rsidR="006361AA">
              <w:t xml:space="preserve"> informatie over pijlers suïcidepreventie en over belang van signalering. </w:t>
            </w:r>
          </w:p>
          <w:p w:rsidR="006361AA" w:rsidRDefault="004138AA">
            <w:r>
              <w:t xml:space="preserve">Interactief aandacht voor </w:t>
            </w:r>
            <w:r w:rsidR="006361AA">
              <w:t xml:space="preserve"> </w:t>
            </w:r>
            <w:r>
              <w:lastRenderedPageBreak/>
              <w:t xml:space="preserve">belang van en knelpunten in de  </w:t>
            </w:r>
            <w:r w:rsidR="006361AA">
              <w:t xml:space="preserve">samenwerking in de keten. </w:t>
            </w:r>
          </w:p>
        </w:tc>
      </w:tr>
      <w:tr w:rsidR="006361AA" w:rsidTr="006361AA">
        <w:tc>
          <w:tcPr>
            <w:tcW w:w="3182" w:type="dxa"/>
            <w:tcBorders>
              <w:top w:val="nil"/>
              <w:left w:val="single" w:sz="8" w:space="0" w:color="4F81BD"/>
              <w:bottom w:val="nil"/>
              <w:right w:val="nil"/>
            </w:tcBorders>
            <w:tcMar>
              <w:top w:w="0" w:type="dxa"/>
              <w:left w:w="108" w:type="dxa"/>
              <w:bottom w:w="0" w:type="dxa"/>
              <w:right w:w="108" w:type="dxa"/>
            </w:tcMar>
            <w:hideMark/>
          </w:tcPr>
          <w:p w:rsidR="006361AA" w:rsidRDefault="006361AA">
            <w:pPr>
              <w:rPr>
                <w:b/>
                <w:bCs/>
              </w:rPr>
            </w:pPr>
            <w:r>
              <w:rPr>
                <w:b/>
                <w:bCs/>
              </w:rPr>
              <w:lastRenderedPageBreak/>
              <w:t xml:space="preserve">18.15 – 19:00 uur </w:t>
            </w:r>
          </w:p>
        </w:tc>
        <w:tc>
          <w:tcPr>
            <w:tcW w:w="3182" w:type="dxa"/>
            <w:tcMar>
              <w:top w:w="0" w:type="dxa"/>
              <w:left w:w="108" w:type="dxa"/>
              <w:bottom w:w="0" w:type="dxa"/>
              <w:right w:w="108" w:type="dxa"/>
            </w:tcMar>
            <w:hideMark/>
          </w:tcPr>
          <w:p w:rsidR="006361AA" w:rsidRDefault="006361AA">
            <w:r>
              <w:t xml:space="preserve">Eten </w:t>
            </w:r>
          </w:p>
        </w:tc>
        <w:tc>
          <w:tcPr>
            <w:tcW w:w="3182" w:type="dxa"/>
            <w:tcBorders>
              <w:top w:val="nil"/>
              <w:left w:val="nil"/>
              <w:bottom w:val="nil"/>
              <w:right w:val="single" w:sz="8" w:space="0" w:color="4F81BD"/>
            </w:tcBorders>
            <w:tcMar>
              <w:top w:w="0" w:type="dxa"/>
              <w:left w:w="108" w:type="dxa"/>
              <w:bottom w:w="0" w:type="dxa"/>
              <w:right w:w="108" w:type="dxa"/>
            </w:tcMar>
            <w:hideMark/>
          </w:tcPr>
          <w:p w:rsidR="006361AA" w:rsidRDefault="006361AA">
            <w:r>
              <w:t>Pizza’s?</w:t>
            </w:r>
          </w:p>
        </w:tc>
      </w:tr>
      <w:tr w:rsidR="006361AA" w:rsidTr="006361AA">
        <w:tc>
          <w:tcPr>
            <w:tcW w:w="3182" w:type="dxa"/>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rsidR="006361AA" w:rsidRDefault="006361AA">
            <w:pPr>
              <w:rPr>
                <w:b/>
                <w:bCs/>
              </w:rPr>
            </w:pPr>
            <w:r>
              <w:rPr>
                <w:b/>
                <w:bCs/>
              </w:rPr>
              <w:t>19.00 uur</w:t>
            </w:r>
          </w:p>
        </w:tc>
        <w:tc>
          <w:tcPr>
            <w:tcW w:w="3182" w:type="dxa"/>
            <w:tcBorders>
              <w:top w:val="single" w:sz="8" w:space="0" w:color="4F81BD"/>
              <w:left w:val="nil"/>
              <w:bottom w:val="single" w:sz="8" w:space="0" w:color="4F81BD"/>
              <w:right w:val="nil"/>
            </w:tcBorders>
            <w:tcMar>
              <w:top w:w="0" w:type="dxa"/>
              <w:left w:w="108" w:type="dxa"/>
              <w:bottom w:w="0" w:type="dxa"/>
              <w:right w:w="108" w:type="dxa"/>
            </w:tcMar>
          </w:tcPr>
          <w:p w:rsidR="006361AA" w:rsidRDefault="006361AA">
            <w:r>
              <w:t xml:space="preserve">Diagnostiek bij suïcidaal gedrag </w:t>
            </w:r>
          </w:p>
          <w:p w:rsidR="006361AA" w:rsidRDefault="006361AA"/>
          <w:p w:rsidR="006361AA" w:rsidRDefault="004138AA" w:rsidP="003B09E8">
            <w:r>
              <w:t>Diverse o</w:t>
            </w:r>
            <w:r w:rsidR="006361AA">
              <w:t>efeningen</w:t>
            </w:r>
            <w:r w:rsidR="003B09E8">
              <w:t xml:space="preserve"> in tweetallen met plenaire nabespreking</w:t>
            </w:r>
            <w:r w:rsidR="006361AA">
              <w:t xml:space="preserve"> </w:t>
            </w:r>
          </w:p>
        </w:tc>
        <w:tc>
          <w:tcPr>
            <w:tcW w:w="3182" w:type="dxa"/>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rsidR="006361AA" w:rsidRDefault="006361AA">
            <w:r>
              <w:t>Met de multidisciplinaire richtlijn suïcidaal gedrag en het handboek suïcidaal gedrag bij jongeren (Meerdinkveldboom) als belangrijkste bronnen wordt aandacht besteed aan risicofactoren, beschermende factoren, meetinstrumenten, stagering (inschatting ernst) en diagnostische afronding.  </w:t>
            </w:r>
          </w:p>
          <w:p w:rsidR="003B09E8" w:rsidRDefault="003B09E8" w:rsidP="003B09E8">
            <w:r>
              <w:t>Er wordt geoefend met uitvragen suïcidaliteit. Men wordt getraind in de CASE-benadering.</w:t>
            </w:r>
          </w:p>
        </w:tc>
      </w:tr>
      <w:tr w:rsidR="006361AA" w:rsidTr="006361AA">
        <w:tc>
          <w:tcPr>
            <w:tcW w:w="3182" w:type="dxa"/>
            <w:tcBorders>
              <w:top w:val="nil"/>
              <w:left w:val="single" w:sz="8" w:space="0" w:color="4F81BD"/>
              <w:bottom w:val="nil"/>
              <w:right w:val="nil"/>
            </w:tcBorders>
            <w:tcMar>
              <w:top w:w="0" w:type="dxa"/>
              <w:left w:w="108" w:type="dxa"/>
              <w:bottom w:w="0" w:type="dxa"/>
              <w:right w:w="108" w:type="dxa"/>
            </w:tcMar>
            <w:hideMark/>
          </w:tcPr>
          <w:p w:rsidR="006361AA" w:rsidRDefault="006361AA">
            <w:pPr>
              <w:rPr>
                <w:b/>
                <w:bCs/>
              </w:rPr>
            </w:pPr>
            <w:r>
              <w:rPr>
                <w:b/>
                <w:bCs/>
              </w:rPr>
              <w:t>19:45 uur  </w:t>
            </w:r>
          </w:p>
        </w:tc>
        <w:tc>
          <w:tcPr>
            <w:tcW w:w="3182" w:type="dxa"/>
            <w:tcMar>
              <w:top w:w="0" w:type="dxa"/>
              <w:left w:w="108" w:type="dxa"/>
              <w:bottom w:w="0" w:type="dxa"/>
              <w:right w:w="108" w:type="dxa"/>
            </w:tcMar>
            <w:hideMark/>
          </w:tcPr>
          <w:p w:rsidR="006361AA" w:rsidRDefault="006361AA">
            <w:r>
              <w:t xml:space="preserve">Kort pauzemoment </w:t>
            </w:r>
          </w:p>
        </w:tc>
        <w:tc>
          <w:tcPr>
            <w:tcW w:w="3182" w:type="dxa"/>
            <w:tcBorders>
              <w:top w:val="nil"/>
              <w:left w:val="nil"/>
              <w:bottom w:val="nil"/>
              <w:right w:val="single" w:sz="8" w:space="0" w:color="4F81BD"/>
            </w:tcBorders>
            <w:tcMar>
              <w:top w:w="0" w:type="dxa"/>
              <w:left w:w="108" w:type="dxa"/>
              <w:bottom w:w="0" w:type="dxa"/>
              <w:right w:w="108" w:type="dxa"/>
            </w:tcMar>
            <w:hideMark/>
          </w:tcPr>
          <w:p w:rsidR="006361AA" w:rsidRDefault="006361AA">
            <w:r>
              <w:t>Kopje</w:t>
            </w:r>
            <w:r w:rsidR="004138AA">
              <w:t xml:space="preserve"> koffie of glas thee pakken </w:t>
            </w:r>
            <w:r>
              <w:t>en weer verder</w:t>
            </w:r>
            <w:r w:rsidR="003B09E8">
              <w:t>.</w:t>
            </w:r>
          </w:p>
        </w:tc>
      </w:tr>
      <w:tr w:rsidR="006361AA" w:rsidTr="006361AA">
        <w:tc>
          <w:tcPr>
            <w:tcW w:w="3182" w:type="dxa"/>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rsidR="006361AA" w:rsidRDefault="006361AA">
            <w:pPr>
              <w:rPr>
                <w:b/>
                <w:bCs/>
              </w:rPr>
            </w:pPr>
            <w:r>
              <w:rPr>
                <w:b/>
                <w:bCs/>
              </w:rPr>
              <w:t>19:50 uur</w:t>
            </w:r>
          </w:p>
        </w:tc>
        <w:tc>
          <w:tcPr>
            <w:tcW w:w="3182" w:type="dxa"/>
            <w:tcBorders>
              <w:top w:val="single" w:sz="8" w:space="0" w:color="4F81BD"/>
              <w:left w:val="nil"/>
              <w:bottom w:val="single" w:sz="8" w:space="0" w:color="4F81BD"/>
              <w:right w:val="nil"/>
            </w:tcBorders>
            <w:tcMar>
              <w:top w:w="0" w:type="dxa"/>
              <w:left w:w="108" w:type="dxa"/>
              <w:bottom w:w="0" w:type="dxa"/>
              <w:right w:w="108" w:type="dxa"/>
            </w:tcMar>
            <w:hideMark/>
          </w:tcPr>
          <w:p w:rsidR="006361AA" w:rsidRDefault="006361AA">
            <w:r>
              <w:t>Eerste en lange termijn interventies bij suïcidaal gedrag</w:t>
            </w:r>
          </w:p>
        </w:tc>
        <w:tc>
          <w:tcPr>
            <w:tcW w:w="3182" w:type="dxa"/>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rsidR="006361AA" w:rsidRDefault="006361AA">
            <w:r>
              <w:t xml:space="preserve">Plenaire presentatie over (valkuilen in) contact, veiligheid continuïteit, beïnvloeden suïcidaal gedrag, veiligheidsplan/signaleringsplan, non-suïcidecontract en relevante ingrediënten van behandeling </w:t>
            </w:r>
            <w:r w:rsidR="004138AA">
              <w:t xml:space="preserve">van </w:t>
            </w:r>
            <w:r>
              <w:t>suïcidaal gedrag op de lange termijn</w:t>
            </w:r>
          </w:p>
        </w:tc>
      </w:tr>
      <w:tr w:rsidR="006361AA" w:rsidTr="006361AA">
        <w:tc>
          <w:tcPr>
            <w:tcW w:w="3182" w:type="dxa"/>
            <w:tcBorders>
              <w:top w:val="nil"/>
              <w:left w:val="single" w:sz="8" w:space="0" w:color="4F81BD"/>
              <w:bottom w:val="nil"/>
              <w:right w:val="nil"/>
            </w:tcBorders>
            <w:tcMar>
              <w:top w:w="0" w:type="dxa"/>
              <w:left w:w="108" w:type="dxa"/>
              <w:bottom w:w="0" w:type="dxa"/>
              <w:right w:w="108" w:type="dxa"/>
            </w:tcMar>
            <w:hideMark/>
          </w:tcPr>
          <w:p w:rsidR="006361AA" w:rsidRDefault="006361AA">
            <w:pPr>
              <w:rPr>
                <w:b/>
                <w:bCs/>
              </w:rPr>
            </w:pPr>
            <w:r>
              <w:rPr>
                <w:b/>
                <w:bCs/>
              </w:rPr>
              <w:t xml:space="preserve">20:30 uur </w:t>
            </w:r>
          </w:p>
        </w:tc>
        <w:tc>
          <w:tcPr>
            <w:tcW w:w="3182" w:type="dxa"/>
            <w:tcMar>
              <w:top w:w="0" w:type="dxa"/>
              <w:left w:w="108" w:type="dxa"/>
              <w:bottom w:w="0" w:type="dxa"/>
              <w:right w:w="108" w:type="dxa"/>
            </w:tcMar>
            <w:hideMark/>
          </w:tcPr>
          <w:p w:rsidR="006361AA" w:rsidRDefault="006361AA">
            <w:r>
              <w:t>Vragen en (kort) casuïstiek</w:t>
            </w:r>
          </w:p>
        </w:tc>
        <w:tc>
          <w:tcPr>
            <w:tcW w:w="3182" w:type="dxa"/>
            <w:tcBorders>
              <w:top w:val="nil"/>
              <w:left w:val="nil"/>
              <w:bottom w:val="nil"/>
              <w:right w:val="single" w:sz="8" w:space="0" w:color="4F81BD"/>
            </w:tcBorders>
            <w:tcMar>
              <w:top w:w="0" w:type="dxa"/>
              <w:left w:w="108" w:type="dxa"/>
              <w:bottom w:w="0" w:type="dxa"/>
              <w:right w:w="108" w:type="dxa"/>
            </w:tcMar>
          </w:tcPr>
          <w:p w:rsidR="006361AA" w:rsidRDefault="003B09E8">
            <w:r>
              <w:t>Interactief.</w:t>
            </w:r>
          </w:p>
        </w:tc>
      </w:tr>
      <w:tr w:rsidR="006361AA" w:rsidTr="006361AA">
        <w:tc>
          <w:tcPr>
            <w:tcW w:w="3182" w:type="dxa"/>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rsidR="006361AA" w:rsidRDefault="006361AA">
            <w:pPr>
              <w:rPr>
                <w:b/>
                <w:bCs/>
              </w:rPr>
            </w:pPr>
            <w:r>
              <w:rPr>
                <w:b/>
                <w:bCs/>
              </w:rPr>
              <w:t>20:45 uur</w:t>
            </w:r>
          </w:p>
        </w:tc>
        <w:tc>
          <w:tcPr>
            <w:tcW w:w="3182" w:type="dxa"/>
            <w:tcBorders>
              <w:top w:val="single" w:sz="8" w:space="0" w:color="4F81BD"/>
              <w:left w:val="nil"/>
              <w:bottom w:val="single" w:sz="8" w:space="0" w:color="4F81BD"/>
              <w:right w:val="nil"/>
            </w:tcBorders>
            <w:tcMar>
              <w:top w:w="0" w:type="dxa"/>
              <w:left w:w="108" w:type="dxa"/>
              <w:bottom w:w="0" w:type="dxa"/>
              <w:right w:w="108" w:type="dxa"/>
            </w:tcMar>
            <w:hideMark/>
          </w:tcPr>
          <w:p w:rsidR="006361AA" w:rsidRDefault="006361AA">
            <w:r>
              <w:t>Afronding</w:t>
            </w:r>
          </w:p>
        </w:tc>
        <w:tc>
          <w:tcPr>
            <w:tcW w:w="3182"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rsidR="006361AA" w:rsidRDefault="006361AA"/>
        </w:tc>
      </w:tr>
    </w:tbl>
    <w:p w:rsidR="006361AA" w:rsidRDefault="006361AA" w:rsidP="006361AA"/>
    <w:p w:rsidR="0037503C" w:rsidRDefault="0037503C" w:rsidP="0037503C">
      <w:pPr>
        <w:pStyle w:val="Kop1"/>
      </w:pPr>
      <w:r>
        <w:t>Evaluatie</w:t>
      </w:r>
    </w:p>
    <w:p w:rsidR="0037503C" w:rsidRDefault="0037503C" w:rsidP="006361AA">
      <w:r>
        <w:t xml:space="preserve">De bijeenkomst wordt geëvalueerd middels evaluatieformulieren die tevens gebruikt worden bij de geaccrediteerde tweewekelijks klinische demonstraties bij Accare. </w:t>
      </w:r>
    </w:p>
    <w:p w:rsidR="0037503C" w:rsidRDefault="0037503C" w:rsidP="006361AA"/>
    <w:p w:rsidR="0037503C" w:rsidRDefault="0037503C" w:rsidP="006361AA"/>
    <w:sectPr w:rsidR="0037503C" w:rsidSect="0067566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Officina Serif Book">
    <w:altName w:val="Trebuchet MS"/>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AA"/>
    <w:rsid w:val="000B1C54"/>
    <w:rsid w:val="00171791"/>
    <w:rsid w:val="00226601"/>
    <w:rsid w:val="002319EB"/>
    <w:rsid w:val="00316666"/>
    <w:rsid w:val="003724A0"/>
    <w:rsid w:val="0037503C"/>
    <w:rsid w:val="003B09E8"/>
    <w:rsid w:val="004138AA"/>
    <w:rsid w:val="0049375A"/>
    <w:rsid w:val="0054296C"/>
    <w:rsid w:val="005B76F9"/>
    <w:rsid w:val="005C6D27"/>
    <w:rsid w:val="006361AA"/>
    <w:rsid w:val="0067566C"/>
    <w:rsid w:val="007E00F9"/>
    <w:rsid w:val="0081072E"/>
    <w:rsid w:val="009A7FDE"/>
    <w:rsid w:val="00A37555"/>
    <w:rsid w:val="00A87571"/>
    <w:rsid w:val="00ED532F"/>
    <w:rsid w:val="00F16B47"/>
    <w:rsid w:val="00F566DD"/>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361AA"/>
    <w:rPr>
      <w:rFonts w:ascii="Calibri" w:eastAsiaTheme="minorHAnsi" w:hAnsi="Calibri" w:cs="Times New Roman"/>
      <w:sz w:val="22"/>
      <w:szCs w:val="22"/>
      <w:lang w:eastAsia="en-US"/>
    </w:rPr>
  </w:style>
  <w:style w:type="paragraph" w:styleId="Kop1">
    <w:name w:val="heading 1"/>
    <w:basedOn w:val="Standaard"/>
    <w:next w:val="Standaard"/>
    <w:link w:val="Kop1Char"/>
    <w:qFormat/>
    <w:rsid w:val="003B09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semiHidden/>
    <w:unhideWhenUsed/>
    <w:qFormat/>
    <w:rsid w:val="006361AA"/>
    <w:pPr>
      <w:keepNext/>
      <w:spacing w:before="200"/>
      <w:outlineLvl w:val="1"/>
    </w:pPr>
    <w:rPr>
      <w:rFonts w:ascii="Cambria"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character" w:customStyle="1" w:styleId="Kop2Char">
    <w:name w:val="Kop 2 Char"/>
    <w:basedOn w:val="Standaardalinea-lettertype"/>
    <w:link w:val="Kop2"/>
    <w:uiPriority w:val="9"/>
    <w:semiHidden/>
    <w:rsid w:val="006361AA"/>
    <w:rPr>
      <w:rFonts w:ascii="Cambria" w:eastAsiaTheme="minorHAnsi" w:hAnsi="Cambria" w:cs="Times New Roman"/>
      <w:b/>
      <w:bCs/>
      <w:color w:val="4F81BD"/>
      <w:sz w:val="26"/>
      <w:szCs w:val="26"/>
      <w:lang w:eastAsia="en-US"/>
    </w:rPr>
  </w:style>
  <w:style w:type="paragraph" w:styleId="Titel">
    <w:name w:val="Title"/>
    <w:basedOn w:val="Standaard"/>
    <w:link w:val="TitelChar"/>
    <w:uiPriority w:val="10"/>
    <w:qFormat/>
    <w:rsid w:val="006361AA"/>
    <w:pPr>
      <w:spacing w:after="300"/>
      <w:contextualSpacing/>
    </w:pPr>
    <w:rPr>
      <w:rFonts w:ascii="Cambria" w:hAnsi="Cambria"/>
      <w:color w:val="17365D"/>
      <w:spacing w:val="5"/>
      <w:sz w:val="52"/>
      <w:szCs w:val="52"/>
    </w:rPr>
  </w:style>
  <w:style w:type="character" w:customStyle="1" w:styleId="TitelChar">
    <w:name w:val="Titel Char"/>
    <w:basedOn w:val="Standaardalinea-lettertype"/>
    <w:link w:val="Titel"/>
    <w:uiPriority w:val="10"/>
    <w:rsid w:val="006361AA"/>
    <w:rPr>
      <w:rFonts w:ascii="Cambria" w:eastAsiaTheme="minorHAnsi" w:hAnsi="Cambria" w:cs="Times New Roman"/>
      <w:color w:val="17365D"/>
      <w:spacing w:val="5"/>
      <w:sz w:val="52"/>
      <w:szCs w:val="52"/>
      <w:lang w:eastAsia="en-US"/>
    </w:rPr>
  </w:style>
  <w:style w:type="character" w:customStyle="1" w:styleId="Kop1Char">
    <w:name w:val="Kop 1 Char"/>
    <w:basedOn w:val="Standaardalinea-lettertype"/>
    <w:link w:val="Kop1"/>
    <w:rsid w:val="003B09E8"/>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rsid w:val="003750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361AA"/>
    <w:rPr>
      <w:rFonts w:ascii="Calibri" w:eastAsiaTheme="minorHAnsi" w:hAnsi="Calibri" w:cs="Times New Roman"/>
      <w:sz w:val="22"/>
      <w:szCs w:val="22"/>
      <w:lang w:eastAsia="en-US"/>
    </w:rPr>
  </w:style>
  <w:style w:type="paragraph" w:styleId="Kop1">
    <w:name w:val="heading 1"/>
    <w:basedOn w:val="Standaard"/>
    <w:next w:val="Standaard"/>
    <w:link w:val="Kop1Char"/>
    <w:qFormat/>
    <w:rsid w:val="003B09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semiHidden/>
    <w:unhideWhenUsed/>
    <w:qFormat/>
    <w:rsid w:val="006361AA"/>
    <w:pPr>
      <w:keepNext/>
      <w:spacing w:before="200"/>
      <w:outlineLvl w:val="1"/>
    </w:pPr>
    <w:rPr>
      <w:rFonts w:ascii="Cambria"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character" w:customStyle="1" w:styleId="Kop2Char">
    <w:name w:val="Kop 2 Char"/>
    <w:basedOn w:val="Standaardalinea-lettertype"/>
    <w:link w:val="Kop2"/>
    <w:uiPriority w:val="9"/>
    <w:semiHidden/>
    <w:rsid w:val="006361AA"/>
    <w:rPr>
      <w:rFonts w:ascii="Cambria" w:eastAsiaTheme="minorHAnsi" w:hAnsi="Cambria" w:cs="Times New Roman"/>
      <w:b/>
      <w:bCs/>
      <w:color w:val="4F81BD"/>
      <w:sz w:val="26"/>
      <w:szCs w:val="26"/>
      <w:lang w:eastAsia="en-US"/>
    </w:rPr>
  </w:style>
  <w:style w:type="paragraph" w:styleId="Titel">
    <w:name w:val="Title"/>
    <w:basedOn w:val="Standaard"/>
    <w:link w:val="TitelChar"/>
    <w:uiPriority w:val="10"/>
    <w:qFormat/>
    <w:rsid w:val="006361AA"/>
    <w:pPr>
      <w:spacing w:after="300"/>
      <w:contextualSpacing/>
    </w:pPr>
    <w:rPr>
      <w:rFonts w:ascii="Cambria" w:hAnsi="Cambria"/>
      <w:color w:val="17365D"/>
      <w:spacing w:val="5"/>
      <w:sz w:val="52"/>
      <w:szCs w:val="52"/>
    </w:rPr>
  </w:style>
  <w:style w:type="character" w:customStyle="1" w:styleId="TitelChar">
    <w:name w:val="Titel Char"/>
    <w:basedOn w:val="Standaardalinea-lettertype"/>
    <w:link w:val="Titel"/>
    <w:uiPriority w:val="10"/>
    <w:rsid w:val="006361AA"/>
    <w:rPr>
      <w:rFonts w:ascii="Cambria" w:eastAsiaTheme="minorHAnsi" w:hAnsi="Cambria" w:cs="Times New Roman"/>
      <w:color w:val="17365D"/>
      <w:spacing w:val="5"/>
      <w:sz w:val="52"/>
      <w:szCs w:val="52"/>
      <w:lang w:eastAsia="en-US"/>
    </w:rPr>
  </w:style>
  <w:style w:type="character" w:customStyle="1" w:styleId="Kop1Char">
    <w:name w:val="Kop 1 Char"/>
    <w:basedOn w:val="Standaardalinea-lettertype"/>
    <w:link w:val="Kop1"/>
    <w:rsid w:val="003B09E8"/>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rsid w:val="00375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ncbi.nlm.nih.gov/pubmed/25617250" TargetMode="External"/><Relationship Id="rId4" Type="http://schemas.openxmlformats.org/officeDocument/2006/relationships/webSettings" Target="webSettings.xml"/><Relationship Id="rId9" Type="http://schemas.openxmlformats.org/officeDocument/2006/relationships/hyperlink" Target="http://www.ncbi.nlm.nih.gov/pubmed/2561725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2590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Anrik Velten</dc:creator>
  <cp:keywords>blanco</cp:keywords>
  <cp:lastModifiedBy>Erik Sentener</cp:lastModifiedBy>
  <cp:revision>2</cp:revision>
  <cp:lastPrinted>2000-12-14T07:25:00Z</cp:lastPrinted>
  <dcterms:created xsi:type="dcterms:W3CDTF">2018-07-16T08:13:00Z</dcterms:created>
  <dcterms:modified xsi:type="dcterms:W3CDTF">2018-07-16T08:13:00Z</dcterms:modified>
</cp:coreProperties>
</file>